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ED" w:rsidRDefault="00474100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</w:t>
      </w:r>
    </w:p>
    <w:p w:rsidR="00B217ED" w:rsidRDefault="00B217ED">
      <w:pPr>
        <w:ind w:right="-427"/>
        <w:rPr>
          <w:b/>
          <w:sz w:val="21"/>
          <w:szCs w:val="21"/>
        </w:rPr>
      </w:pPr>
    </w:p>
    <w:p w:rsidR="00B217ED" w:rsidRDefault="002300C0">
      <w:pPr>
        <w:ind w:right="-427"/>
        <w:jc w:val="center"/>
        <w:rPr>
          <w:b/>
        </w:rPr>
      </w:pPr>
      <w:r>
        <w:rPr>
          <w:b/>
        </w:rPr>
        <w:t xml:space="preserve">Список препаратов </w:t>
      </w:r>
      <w:bookmarkStart w:id="0" w:name="_GoBack"/>
      <w:bookmarkEnd w:id="0"/>
      <w:r w:rsidR="00474100">
        <w:rPr>
          <w:b/>
        </w:rPr>
        <w:t xml:space="preserve"> и их аналоги.</w:t>
      </w:r>
    </w:p>
    <w:p w:rsidR="00B217ED" w:rsidRDefault="00B217ED">
      <w:pPr>
        <w:ind w:right="-427"/>
        <w:jc w:val="center"/>
        <w:rPr>
          <w:b/>
          <w:sz w:val="21"/>
          <w:szCs w:val="21"/>
        </w:rPr>
      </w:pPr>
    </w:p>
    <w:p w:rsidR="00B217ED" w:rsidRDefault="00B217ED">
      <w:pPr>
        <w:ind w:left="284" w:right="-427" w:firstLine="567"/>
        <w:jc w:val="both"/>
        <w:rPr>
          <w:sz w:val="21"/>
          <w:szCs w:val="21"/>
        </w:rPr>
      </w:pPr>
    </w:p>
    <w:tbl>
      <w:tblPr>
        <w:tblpPr w:leftFromText="180" w:rightFromText="180" w:vertAnchor="text" w:horzAnchor="margin" w:tblpX="-9" w:tblpY="208"/>
        <w:tblW w:w="9889" w:type="dxa"/>
        <w:tblLayout w:type="fixed"/>
        <w:tblLook w:val="04A0" w:firstRow="1" w:lastRow="0" w:firstColumn="1" w:lastColumn="0" w:noHBand="0" w:noVBand="1"/>
      </w:tblPr>
      <w:tblGrid>
        <w:gridCol w:w="305"/>
        <w:gridCol w:w="1671"/>
        <w:gridCol w:w="3678"/>
        <w:gridCol w:w="4235"/>
      </w:tblGrid>
      <w:tr w:rsidR="00B217ED">
        <w:trPr>
          <w:trHeight w:val="84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препарата (производитель)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Краткое описание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Аналоги</w:t>
            </w:r>
          </w:p>
        </w:tc>
      </w:tr>
      <w:tr w:rsidR="00B217ED">
        <w:trPr>
          <w:trHeight w:val="982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ЦИРКО ПИГВАК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Dae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Sung</w:t>
            </w:r>
            <w:proofErr w:type="spellEnd"/>
            <w:r>
              <w:rPr>
                <w:sz w:val="21"/>
                <w:szCs w:val="21"/>
              </w:rPr>
              <w:t xml:space="preserve">, Корея), </w:t>
            </w: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 xml:space="preserve"> 50 доз / 50 мл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Инактивированная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цельновирионная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вакцина для профилактики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цирковирусной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инфекции свиней.</w:t>
            </w:r>
          </w:p>
          <w:p w:rsidR="00B217ED" w:rsidRDefault="0047410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Поросятам   однократно в дозе 1 мл с 14-21 -дневного возраста.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Порциллис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PCV</w:t>
            </w:r>
            <w:r>
              <w:rPr>
                <w:rFonts w:eastAsia="Calibri"/>
                <w:sz w:val="20"/>
                <w:szCs w:val="20"/>
                <w:lang w:eastAsia="en-US"/>
              </w:rPr>
              <w:t>2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Интервет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Ингельвак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Циркофлекс</w:t>
            </w:r>
            <w:proofErr w:type="spellEnd"/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Цирблок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(Сева)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Суваксин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Цирко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Зоэтис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-Про-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Циркомастер</w:t>
            </w:r>
            <w:proofErr w:type="spellEnd"/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(Корея)</w:t>
            </w:r>
          </w:p>
          <w:p w:rsidR="00B217ED" w:rsidRDefault="00B217ED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РИНИ ПИГ</w:t>
            </w:r>
          </w:p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Dae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Sung</w:t>
            </w:r>
            <w:proofErr w:type="spellEnd"/>
            <w:r>
              <w:rPr>
                <w:sz w:val="21"/>
                <w:szCs w:val="21"/>
              </w:rPr>
              <w:t>, Корея),</w:t>
            </w:r>
            <w:r>
              <w:t xml:space="preserve"> </w:t>
            </w: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 xml:space="preserve"> 50 доз / 100мл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Инактивированная вакцина для профилактики атрофического ринита свиней.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  <w:r w:rsidRPr="00CF0B82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Bordetella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bronchiseptica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Pasterella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multocida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дермонекротоксин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Bordetella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bronchiseptica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Pasterella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multocida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Доза: 2 мл. Свиноматкам впервые: на 70-80 и 90-100 дни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супоросности 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последующие опоросы - одноразово на 80-90 дни супоросности.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Поросятам: двукратно в дозе 1,5 мл в 3- и 5- недельном возрасте.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Ρинисенг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Хипра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Испания)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Порцилис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AR-T DF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Интервет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Байовак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Рини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(Байер)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Ринизин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DNT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Биовета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АМОКСИПРОМ </w:t>
            </w: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Доксал</w:t>
            </w:r>
            <w:proofErr w:type="spellEnd"/>
            <w:r>
              <w:rPr>
                <w:sz w:val="21"/>
                <w:szCs w:val="21"/>
              </w:rPr>
              <w:t>, Италия),</w:t>
            </w:r>
          </w:p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пак/1 кг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Водорастворимый порошок. Антибиотик.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Состав: 50% амоксициллина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тригидрат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Доза: 20-40 мг/ кг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ж.м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., 5 дней.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Аматиб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80 % (КРКА)</w:t>
            </w:r>
          </w:p>
          <w:p w:rsidR="00B217ED" w:rsidRDefault="00474100">
            <w:pPr>
              <w:widowContro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Ветримоксин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500 (Сева)</w:t>
            </w:r>
          </w:p>
          <w:p w:rsidR="00B217ED" w:rsidRDefault="00474100">
            <w:pPr>
              <w:widowContro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Амоксикел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Кела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, Бельгия)</w:t>
            </w: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ДИМОКСАН </w:t>
            </w:r>
            <w:r>
              <w:rPr>
                <w:b/>
                <w:sz w:val="21"/>
                <w:szCs w:val="21"/>
                <w:lang w:val="en-US"/>
              </w:rPr>
              <w:t>WS</w:t>
            </w:r>
          </w:p>
          <w:p w:rsidR="00B217ED" w:rsidRDefault="00474100">
            <w:pPr>
              <w:widowControl w:val="0"/>
              <w:jc w:val="center"/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бан</w:t>
            </w:r>
            <w:proofErr w:type="spellEnd"/>
            <w:r>
              <w:rPr>
                <w:sz w:val="21"/>
                <w:szCs w:val="21"/>
              </w:rPr>
              <w:t>/1 кг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Водорастворимый порошок. Антибиотик.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в 1 г: амоксициллина 200 мг, </w:t>
            </w:r>
            <w:proofErr w:type="spellStart"/>
            <w:r>
              <w:rPr>
                <w:sz w:val="20"/>
                <w:szCs w:val="20"/>
              </w:rPr>
              <w:t>колистина</w:t>
            </w:r>
            <w:proofErr w:type="spellEnd"/>
            <w:r>
              <w:rPr>
                <w:sz w:val="20"/>
                <w:szCs w:val="20"/>
              </w:rPr>
              <w:t xml:space="preserve"> 1,2 млн. МЕ.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Доза:  0,5-1 кг/тонну воды, 3-5 дней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Амоксикол</w:t>
            </w:r>
            <w:proofErr w:type="spellEnd"/>
            <w:r>
              <w:rPr>
                <w:sz w:val="20"/>
                <w:szCs w:val="20"/>
              </w:rPr>
              <w:t xml:space="preserve"> (Беларусь)</w:t>
            </w:r>
          </w:p>
        </w:tc>
      </w:tr>
      <w:tr w:rsidR="00B217ED">
        <w:trPr>
          <w:trHeight w:val="843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ИНТРОФЛОР-100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бут/1 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Оральный раствор. Антибиотик.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</w:t>
            </w:r>
            <w:proofErr w:type="spellStart"/>
            <w:r>
              <w:rPr>
                <w:sz w:val="20"/>
                <w:szCs w:val="20"/>
              </w:rPr>
              <w:t>флорфеникол</w:t>
            </w:r>
            <w:proofErr w:type="spellEnd"/>
            <w:r>
              <w:rPr>
                <w:sz w:val="20"/>
                <w:szCs w:val="20"/>
              </w:rPr>
              <w:t xml:space="preserve"> 100 мг</w:t>
            </w:r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Доза:  1 л на 1000 л питьевой воды в течении 5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Флорфеникол</w:t>
            </w:r>
            <w:proofErr w:type="spellEnd"/>
            <w:r>
              <w:rPr>
                <w:sz w:val="20"/>
                <w:szCs w:val="20"/>
              </w:rPr>
              <w:t xml:space="preserve"> 100 (</w:t>
            </w:r>
            <w:proofErr w:type="spellStart"/>
            <w:r>
              <w:rPr>
                <w:sz w:val="20"/>
                <w:szCs w:val="20"/>
              </w:rPr>
              <w:t>Альповет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-FF 10 Плюс (Испания)</w:t>
            </w:r>
          </w:p>
        </w:tc>
      </w:tr>
      <w:tr w:rsidR="00B217ED">
        <w:trPr>
          <w:trHeight w:val="41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ТЕТРАКСАЛАН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Доксал</w:t>
            </w:r>
            <w:proofErr w:type="spellEnd"/>
            <w:r>
              <w:rPr>
                <w:sz w:val="21"/>
                <w:szCs w:val="21"/>
              </w:rPr>
              <w:t>, Италия),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Меш/5 кг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Водорастворимый порошок. Антибиотик.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Состав: Хлортетрациклин – 20%.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Доза:10-25 г/100 кг </w:t>
            </w:r>
            <w:proofErr w:type="spellStart"/>
            <w:r>
              <w:rPr>
                <w:sz w:val="20"/>
                <w:szCs w:val="20"/>
              </w:rPr>
              <w:t>ж.м</w:t>
            </w:r>
            <w:proofErr w:type="spellEnd"/>
            <w:r>
              <w:rPr>
                <w:sz w:val="20"/>
                <w:szCs w:val="20"/>
              </w:rPr>
              <w:t>., 3-5 дней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Аурогран</w:t>
            </w:r>
            <w:proofErr w:type="spellEnd"/>
            <w:r>
              <w:rPr>
                <w:sz w:val="20"/>
                <w:szCs w:val="20"/>
              </w:rPr>
              <w:t xml:space="preserve"> 20 % (</w:t>
            </w:r>
            <w:proofErr w:type="spellStart"/>
            <w:r>
              <w:rPr>
                <w:sz w:val="20"/>
                <w:szCs w:val="20"/>
              </w:rPr>
              <w:t>Эланко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Биогран</w:t>
            </w:r>
            <w:proofErr w:type="spellEnd"/>
            <w:r>
              <w:rPr>
                <w:sz w:val="20"/>
                <w:szCs w:val="20"/>
              </w:rPr>
              <w:t xml:space="preserve"> 200 (Беларусь)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Сеетек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20% /(Болгария)</w:t>
            </w:r>
          </w:p>
        </w:tc>
      </w:tr>
      <w:tr w:rsidR="00B217ED">
        <w:trPr>
          <w:trHeight w:val="41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ПАРАЦЕТАМОЛ-30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(С.П. Ветеринария, Испания),</w:t>
            </w:r>
            <w:r>
              <w:t xml:space="preserve"> </w:t>
            </w: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>/1л/5л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 xml:space="preserve">Оральный </w:t>
            </w:r>
            <w:r>
              <w:t xml:space="preserve"> </w:t>
            </w:r>
            <w:r>
              <w:rPr>
                <w:b/>
                <w:sz w:val="21"/>
                <w:szCs w:val="21"/>
              </w:rPr>
              <w:t>раствор</w:t>
            </w:r>
            <w:proofErr w:type="gramEnd"/>
            <w:r>
              <w:rPr>
                <w:b/>
                <w:sz w:val="21"/>
                <w:szCs w:val="21"/>
              </w:rPr>
              <w:t>. Жаропонижающее и противовоспалительное</w:t>
            </w:r>
          </w:p>
          <w:p w:rsidR="00B217ED" w:rsidRDefault="0047410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 в 1 мл: Парацетамол 300 мг</w:t>
            </w:r>
          </w:p>
          <w:p w:rsidR="00B217ED" w:rsidRDefault="0047410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Доза: 30 мг/1 кг веса/ 1 день, в течение 5 дней</w:t>
            </w:r>
          </w:p>
          <w:p w:rsidR="00B217ED" w:rsidRDefault="0047410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 л/1000 л воды).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Аналогов нет</w:t>
            </w:r>
          </w:p>
        </w:tc>
      </w:tr>
      <w:tr w:rsidR="00B217ED">
        <w:trPr>
          <w:trHeight w:val="899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ЛИМОКСИН-200 ЛА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Нидерланды),</w:t>
            </w:r>
            <w:r>
              <w:t xml:space="preserve"> </w:t>
            </w: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Пролонгированный антибиотик, инъекции.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в 1 мл: </w:t>
            </w:r>
            <w:proofErr w:type="spellStart"/>
            <w:r>
              <w:rPr>
                <w:sz w:val="20"/>
                <w:szCs w:val="20"/>
              </w:rPr>
              <w:t>окситетрацилин</w:t>
            </w:r>
            <w:proofErr w:type="spellEnd"/>
            <w:r>
              <w:rPr>
                <w:sz w:val="20"/>
                <w:szCs w:val="20"/>
              </w:rPr>
              <w:t xml:space="preserve"> 200 мг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Доза: в/м 1 мл/10 кг живой массы, однократно. Можно повторить инъекцию через 72 ч.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Окситетрацилин</w:t>
            </w:r>
            <w:proofErr w:type="spellEnd"/>
            <w:r>
              <w:rPr>
                <w:sz w:val="20"/>
                <w:szCs w:val="20"/>
              </w:rPr>
              <w:t xml:space="preserve"> 20% (</w:t>
            </w:r>
            <w:proofErr w:type="spellStart"/>
            <w:r>
              <w:rPr>
                <w:sz w:val="20"/>
                <w:szCs w:val="20"/>
                <w:lang w:val="en-US"/>
              </w:rPr>
              <w:t>Alfasan</w:t>
            </w:r>
            <w:proofErr w:type="spellEnd"/>
            <w:r>
              <w:rPr>
                <w:sz w:val="20"/>
                <w:szCs w:val="20"/>
              </w:rPr>
              <w:t>, Нидерланды)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Окситетрациклин</w:t>
            </w:r>
            <w:proofErr w:type="spellEnd"/>
            <w:r>
              <w:rPr>
                <w:sz w:val="20"/>
                <w:szCs w:val="20"/>
              </w:rPr>
              <w:t xml:space="preserve"> 20 LA (</w:t>
            </w:r>
            <w:proofErr w:type="spellStart"/>
            <w:r>
              <w:rPr>
                <w:sz w:val="20"/>
                <w:szCs w:val="20"/>
              </w:rPr>
              <w:t>Миралек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Окситетрациклин</w:t>
            </w:r>
            <w:proofErr w:type="spellEnd"/>
            <w:r>
              <w:rPr>
                <w:sz w:val="20"/>
                <w:szCs w:val="20"/>
              </w:rPr>
              <w:t xml:space="preserve"> ЛА (Вьетнам)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Окситетрациклин</w:t>
            </w:r>
            <w:proofErr w:type="spellEnd"/>
            <w:r>
              <w:rPr>
                <w:sz w:val="20"/>
                <w:szCs w:val="20"/>
              </w:rPr>
              <w:t xml:space="preserve"> 200 LА (</w:t>
            </w:r>
            <w:proofErr w:type="spellStart"/>
            <w:r>
              <w:rPr>
                <w:sz w:val="20"/>
                <w:szCs w:val="20"/>
              </w:rPr>
              <w:t>Альповет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217ED">
        <w:trPr>
          <w:trHeight w:val="553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МАРБОЦИН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Антибиотик, инъекции.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</w:t>
            </w:r>
            <w:proofErr w:type="spellStart"/>
            <w:r>
              <w:rPr>
                <w:sz w:val="20"/>
                <w:szCs w:val="20"/>
              </w:rPr>
              <w:t>Марбофлоксацин</w:t>
            </w:r>
            <w:proofErr w:type="spellEnd"/>
            <w:r>
              <w:rPr>
                <w:sz w:val="20"/>
                <w:szCs w:val="20"/>
              </w:rPr>
              <w:t xml:space="preserve"> – 10 %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Доза: 1 мл/50 кг массы, 3 дня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ind w:left="-15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</w:t>
            </w:r>
            <w:proofErr w:type="spellStart"/>
            <w:r>
              <w:rPr>
                <w:sz w:val="20"/>
                <w:szCs w:val="20"/>
              </w:rPr>
              <w:t>Марфлоксин</w:t>
            </w:r>
            <w:proofErr w:type="spellEnd"/>
            <w:r>
              <w:rPr>
                <w:sz w:val="20"/>
                <w:szCs w:val="20"/>
              </w:rPr>
              <w:t xml:space="preserve"> (КРКА</w:t>
            </w:r>
          </w:p>
          <w:p w:rsidR="00B217ED" w:rsidRDefault="00474100">
            <w:pPr>
              <w:widowControl w:val="0"/>
              <w:ind w:left="-15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</w:t>
            </w:r>
            <w:proofErr w:type="spellStart"/>
            <w:r>
              <w:rPr>
                <w:sz w:val="20"/>
                <w:szCs w:val="20"/>
              </w:rPr>
              <w:t>Марбокс</w:t>
            </w:r>
            <w:proofErr w:type="spellEnd"/>
            <w:r>
              <w:rPr>
                <w:sz w:val="20"/>
                <w:szCs w:val="20"/>
              </w:rPr>
              <w:t xml:space="preserve"> (Сева)</w:t>
            </w:r>
          </w:p>
          <w:p w:rsidR="00B217ED" w:rsidRDefault="00474100">
            <w:pPr>
              <w:widowControl w:val="0"/>
              <w:ind w:left="-15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proofErr w:type="spellStart"/>
            <w:r>
              <w:rPr>
                <w:sz w:val="20"/>
                <w:szCs w:val="20"/>
              </w:rPr>
              <w:t>Марбоцил</w:t>
            </w:r>
            <w:proofErr w:type="spellEnd"/>
            <w:r>
              <w:rPr>
                <w:sz w:val="20"/>
                <w:szCs w:val="20"/>
              </w:rPr>
              <w:t xml:space="preserve"> 10 (Польша)</w:t>
            </w:r>
          </w:p>
          <w:p w:rsidR="00B217ED" w:rsidRDefault="00474100">
            <w:pPr>
              <w:widowControl w:val="0"/>
              <w:ind w:left="-15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-- </w:t>
            </w:r>
            <w:proofErr w:type="spellStart"/>
            <w:r>
              <w:rPr>
                <w:sz w:val="20"/>
                <w:szCs w:val="20"/>
              </w:rPr>
              <w:t>Бофлокс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Инвеса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B217E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B217ED">
        <w:trPr>
          <w:trHeight w:val="553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ЭНРОМОКС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Комплексный антибиотик, инъекции.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Амоксициллина </w:t>
            </w:r>
            <w:proofErr w:type="spellStart"/>
            <w:r>
              <w:rPr>
                <w:sz w:val="20"/>
                <w:szCs w:val="20"/>
              </w:rPr>
              <w:t>тригидрат</w:t>
            </w:r>
            <w:proofErr w:type="spellEnd"/>
            <w:r>
              <w:rPr>
                <w:sz w:val="20"/>
                <w:szCs w:val="20"/>
              </w:rPr>
              <w:t xml:space="preserve"> – 10 %,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Энрофлоксацин</w:t>
            </w:r>
            <w:proofErr w:type="spellEnd"/>
            <w:r>
              <w:rPr>
                <w:sz w:val="20"/>
                <w:szCs w:val="20"/>
              </w:rPr>
              <w:t xml:space="preserve"> – 5 %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Доза:  0,5 мл /10 кг   в течение 3-5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., свиноматкам при   ММА – в течение 1-2 дней.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Энромокс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>
              <w:rPr>
                <w:sz w:val="20"/>
                <w:szCs w:val="20"/>
              </w:rPr>
              <w:t xml:space="preserve"> ЛА (Беларусь)</w:t>
            </w: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УЛЬТРАВИТ</w:t>
            </w:r>
          </w:p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Нидерланды),</w:t>
            </w:r>
            <w:r>
              <w:t xml:space="preserve"> </w:t>
            </w: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Витаминно-минеральный комплекс, инъекции.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Доза: п/к или в/м 2 мл/50 кг массы тела животного, однократно.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Хелсивит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(Россия)</w:t>
            </w:r>
          </w:p>
          <w:p w:rsidR="00B217ED" w:rsidRDefault="00474100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Мультивитамин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инъекционный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Норбрук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217ED" w:rsidRDefault="00B217ED">
            <w:pPr>
              <w:widowContro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ВИТАФЛОР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Доксал</w:t>
            </w:r>
            <w:proofErr w:type="spellEnd"/>
            <w:r>
              <w:rPr>
                <w:sz w:val="21"/>
                <w:szCs w:val="21"/>
              </w:rPr>
              <w:t>, Италия),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Меш/25 кг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Термостабильный </w:t>
            </w:r>
            <w:proofErr w:type="spellStart"/>
            <w:r>
              <w:rPr>
                <w:b/>
                <w:sz w:val="20"/>
                <w:szCs w:val="20"/>
              </w:rPr>
              <w:t>пробиотик</w:t>
            </w:r>
            <w:proofErr w:type="spellEnd"/>
            <w:r>
              <w:rPr>
                <w:b/>
                <w:sz w:val="20"/>
                <w:szCs w:val="20"/>
              </w:rPr>
              <w:t xml:space="preserve"> для добавления в комбикорм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Содержит </w:t>
            </w:r>
            <w:proofErr w:type="spellStart"/>
            <w:r>
              <w:rPr>
                <w:sz w:val="20"/>
                <w:szCs w:val="20"/>
              </w:rPr>
              <w:t>Saccharomyces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cerevisiae</w:t>
            </w:r>
            <w:proofErr w:type="spellEnd"/>
            <w:r>
              <w:rPr>
                <w:sz w:val="20"/>
                <w:szCs w:val="20"/>
              </w:rPr>
              <w:t xml:space="preserve"> (не менее 12 * 10</w:t>
            </w:r>
            <w:r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 xml:space="preserve"> КОЕ), комплекс витаминов и макро-микроэлементов.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Инактивированный </w:t>
            </w:r>
            <w:proofErr w:type="spellStart"/>
            <w:r>
              <w:rPr>
                <w:sz w:val="20"/>
                <w:szCs w:val="20"/>
              </w:rPr>
              <w:t>пробиотик</w:t>
            </w:r>
            <w:proofErr w:type="spellEnd"/>
            <w:r>
              <w:rPr>
                <w:sz w:val="20"/>
                <w:szCs w:val="20"/>
              </w:rPr>
              <w:t>, служащий «</w:t>
            </w:r>
            <w:proofErr w:type="gramStart"/>
            <w:r>
              <w:rPr>
                <w:sz w:val="20"/>
                <w:szCs w:val="20"/>
              </w:rPr>
              <w:t>кормовым  пакетом</w:t>
            </w:r>
            <w:proofErr w:type="gramEnd"/>
            <w:r>
              <w:rPr>
                <w:sz w:val="20"/>
                <w:szCs w:val="20"/>
              </w:rPr>
              <w:t xml:space="preserve">» для собственной положительной микрофлоры животного. «Кормовой пакет» создаётся из-за воздействия высокой температуры </w:t>
            </w:r>
            <w:proofErr w:type="gramStart"/>
            <w:r>
              <w:rPr>
                <w:sz w:val="20"/>
                <w:szCs w:val="20"/>
              </w:rPr>
              <w:t xml:space="preserve">на  </w:t>
            </w:r>
            <w:proofErr w:type="spellStart"/>
            <w:r>
              <w:rPr>
                <w:sz w:val="20"/>
                <w:szCs w:val="20"/>
              </w:rPr>
              <w:t>пробиотический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микроорганизм, который в состоянии шока начинает усиленно выделять полезные метаболиты, которые пакуются в капсулу и используются потом как подкормка для собственных кишечных бактерий.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Дозировка:   500 г/тонну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-Royal Feed C-500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Biolatic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Китай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>
              <w:rPr>
                <w:sz w:val="20"/>
                <w:szCs w:val="20"/>
              </w:rPr>
              <w:t xml:space="preserve"> Плюс </w:t>
            </w:r>
            <w:r>
              <w:rPr>
                <w:sz w:val="20"/>
                <w:szCs w:val="20"/>
                <w:lang w:val="en-US"/>
              </w:rPr>
              <w:t>YC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Биохем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Рус)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Целлобактерин</w:t>
            </w:r>
            <w:proofErr w:type="spellEnd"/>
            <w:r>
              <w:rPr>
                <w:sz w:val="20"/>
                <w:szCs w:val="20"/>
              </w:rPr>
              <w:t>-Т (</w:t>
            </w:r>
            <w:proofErr w:type="spellStart"/>
            <w:r>
              <w:rPr>
                <w:sz w:val="20"/>
                <w:szCs w:val="20"/>
              </w:rPr>
              <w:t>Мегамикс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B217ED">
            <w:pPr>
              <w:widowControl w:val="0"/>
              <w:rPr>
                <w:sz w:val="20"/>
                <w:szCs w:val="20"/>
              </w:rPr>
            </w:pP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ПИГЛЕТ БУСТЕР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Информ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Нутришнл</w:t>
            </w:r>
            <w:proofErr w:type="spellEnd"/>
            <w:r>
              <w:rPr>
                <w:sz w:val="21"/>
                <w:szCs w:val="21"/>
              </w:rPr>
              <w:t>, Ирландия),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t xml:space="preserve"> </w:t>
            </w: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/250 мл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Оральная паста для новорожденных поросят с дозатором</w:t>
            </w:r>
            <w:r>
              <w:rPr>
                <w:sz w:val="20"/>
                <w:szCs w:val="20"/>
              </w:rPr>
              <w:t>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антитела, </w:t>
            </w:r>
            <w:proofErr w:type="spellStart"/>
            <w:r>
              <w:rPr>
                <w:sz w:val="20"/>
                <w:szCs w:val="20"/>
              </w:rPr>
              <w:t>треонин</w:t>
            </w:r>
            <w:proofErr w:type="spellEnd"/>
            <w:r>
              <w:rPr>
                <w:sz w:val="20"/>
                <w:szCs w:val="20"/>
              </w:rPr>
              <w:t xml:space="preserve">, антиоксиданты, растительные полифенолы, витамины и минералы в </w:t>
            </w:r>
            <w:proofErr w:type="spellStart"/>
            <w:r>
              <w:rPr>
                <w:sz w:val="20"/>
                <w:szCs w:val="20"/>
              </w:rPr>
              <w:t>хелатированной</w:t>
            </w:r>
            <w:proofErr w:type="spellEnd"/>
            <w:r>
              <w:rPr>
                <w:sz w:val="20"/>
                <w:szCs w:val="20"/>
              </w:rPr>
              <w:t xml:space="preserve"> форме.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Доза: Одноразово, желательно   после рождения: 1 доза - 1 нажатие - 2,5 мл)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hyperlink r:id="rId7">
              <w:proofErr w:type="spellStart"/>
              <w:r>
                <w:rPr>
                  <w:bCs/>
                  <w:sz w:val="20"/>
                  <w:szCs w:val="20"/>
                </w:rPr>
                <w:t>Глобиген</w:t>
              </w:r>
              <w:proofErr w:type="spellEnd"/>
              <w:r>
                <w:rPr>
                  <w:bCs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bCs/>
                  <w:sz w:val="20"/>
                  <w:szCs w:val="20"/>
                </w:rPr>
                <w:t>Пиг</w:t>
              </w:r>
              <w:proofErr w:type="spellEnd"/>
              <w:r>
                <w:rPr>
                  <w:bCs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bCs/>
                  <w:sz w:val="20"/>
                  <w:szCs w:val="20"/>
                </w:rPr>
                <w:t>Дозер</w:t>
              </w:r>
              <w:proofErr w:type="spellEnd"/>
              <w:r>
                <w:rPr>
                  <w:bCs/>
                  <w:sz w:val="20"/>
                  <w:szCs w:val="20"/>
                </w:rPr>
                <w:t xml:space="preserve"> (Германия)</w:t>
              </w:r>
            </w:hyperlink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Пиггибуст</w:t>
            </w:r>
            <w:proofErr w:type="spellEnd"/>
            <w:r>
              <w:rPr>
                <w:bCs/>
                <w:sz w:val="20"/>
                <w:szCs w:val="20"/>
              </w:rPr>
              <w:t xml:space="preserve"> (Франция)</w:t>
            </w:r>
          </w:p>
        </w:tc>
      </w:tr>
      <w:tr w:rsidR="00B217ED">
        <w:trPr>
          <w:trHeight w:val="273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ФАРМАФЛОР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(СТИ </w:t>
            </w:r>
            <w:proofErr w:type="spellStart"/>
            <w:r>
              <w:rPr>
                <w:sz w:val="21"/>
                <w:szCs w:val="21"/>
              </w:rPr>
              <w:t>Биотехнолоджи</w:t>
            </w:r>
            <w:proofErr w:type="spellEnd"/>
            <w:r>
              <w:rPr>
                <w:sz w:val="21"/>
                <w:szCs w:val="21"/>
              </w:rPr>
              <w:t>, Франция),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Меш/25 кг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Термостойкая </w:t>
            </w:r>
            <w:proofErr w:type="gramStart"/>
            <w:r>
              <w:rPr>
                <w:b/>
                <w:sz w:val="20"/>
                <w:szCs w:val="20"/>
              </w:rPr>
              <w:t xml:space="preserve">кормовая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добавка</w:t>
            </w:r>
            <w:proofErr w:type="gramEnd"/>
            <w:r>
              <w:rPr>
                <w:b/>
                <w:sz w:val="20"/>
                <w:szCs w:val="20"/>
              </w:rPr>
              <w:t xml:space="preserve"> для добавления в комбикорм - </w:t>
            </w:r>
            <w:r>
              <w:rPr>
                <w:sz w:val="20"/>
                <w:szCs w:val="20"/>
              </w:rPr>
              <w:t>предназначена для нормализации кишечной микрофлоры и повышения резистентности организма 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Lactobacillus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rhamnosis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Lactobacillus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farciminis</w:t>
            </w:r>
            <w:proofErr w:type="spellEnd"/>
            <w:r>
              <w:rPr>
                <w:sz w:val="20"/>
                <w:szCs w:val="20"/>
              </w:rPr>
              <w:t xml:space="preserve"> были обработаны высокой температурой. Выделившиеся метаболиты (ферменты, витамины, иммуноглобулины, микроэлементы) были выделены и запакованы в термостойкую капсулу. Дозировка: от 1 до 5 кг / т корма, в зависимости от цели и возраста.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-Royal Feed C-500 (</w:t>
            </w:r>
            <w:proofErr w:type="spellStart"/>
            <w:r>
              <w:rPr>
                <w:sz w:val="20"/>
                <w:szCs w:val="20"/>
                <w:lang w:val="en-US"/>
              </w:rPr>
              <w:t>Biolatic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Китай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>
              <w:rPr>
                <w:sz w:val="20"/>
                <w:szCs w:val="20"/>
              </w:rPr>
              <w:t xml:space="preserve"> Плюс YC (</w:t>
            </w:r>
            <w:proofErr w:type="spellStart"/>
            <w:r>
              <w:rPr>
                <w:sz w:val="20"/>
                <w:szCs w:val="20"/>
              </w:rPr>
              <w:t>Биохем</w:t>
            </w:r>
            <w:proofErr w:type="spellEnd"/>
            <w:r>
              <w:rPr>
                <w:sz w:val="20"/>
                <w:szCs w:val="20"/>
              </w:rPr>
              <w:t xml:space="preserve"> Рус)</w:t>
            </w:r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Целлобактерин</w:t>
            </w:r>
            <w:proofErr w:type="spellEnd"/>
            <w:r>
              <w:rPr>
                <w:sz w:val="20"/>
                <w:szCs w:val="20"/>
              </w:rPr>
              <w:t>-Т (</w:t>
            </w:r>
            <w:proofErr w:type="spellStart"/>
            <w:r>
              <w:rPr>
                <w:sz w:val="20"/>
                <w:szCs w:val="20"/>
              </w:rPr>
              <w:t>Мегамикс</w:t>
            </w:r>
            <w:proofErr w:type="spellEnd"/>
          </w:p>
        </w:tc>
      </w:tr>
      <w:tr w:rsidR="00B217ED">
        <w:trPr>
          <w:trHeight w:val="419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АРОМАФАРМ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 xml:space="preserve"> (Испания),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>/5 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Биологический активатор   разложения органической материи</w:t>
            </w:r>
            <w:r>
              <w:rPr>
                <w:sz w:val="20"/>
                <w:szCs w:val="20"/>
              </w:rPr>
              <w:t xml:space="preserve">, устранения неприятных запахов и кондиционирования воздуха. Для добавления в навоз в животноводстве и в систему канализации пищеперерабатывающих предприятий. Адсорбция газов происходит благодаря структуре молекулы: гигроскопичная формула </w:t>
            </w:r>
            <w:proofErr w:type="spellStart"/>
            <w:r>
              <w:rPr>
                <w:sz w:val="20"/>
                <w:szCs w:val="20"/>
              </w:rPr>
              <w:t>Аромафарма</w:t>
            </w:r>
            <w:proofErr w:type="spellEnd"/>
            <w:r>
              <w:rPr>
                <w:sz w:val="20"/>
                <w:szCs w:val="20"/>
              </w:rPr>
              <w:t xml:space="preserve"> захватывает и удерживает воду и растворенные в ней газы, сокращая их попадание в воздух.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Микрозим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Вэйст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Трит</w:t>
            </w:r>
            <w:proofErr w:type="spellEnd"/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Беларусь)</w:t>
            </w: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БИОЛАЙТ</w:t>
            </w:r>
          </w:p>
          <w:p w:rsidR="00B217ED" w:rsidRDefault="00474100">
            <w:pPr>
              <w:widowControl w:val="0"/>
              <w:jc w:val="center"/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>, Испания),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 xml:space="preserve">/5 кг, </w:t>
            </w: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>/30 кг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Щелочное  моющее</w:t>
            </w:r>
            <w:proofErr w:type="gramEnd"/>
            <w:r>
              <w:rPr>
                <w:b/>
                <w:sz w:val="20"/>
                <w:szCs w:val="20"/>
              </w:rPr>
              <w:t xml:space="preserve">  пенообразующее  средство.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обезжиривания и удаления жировых, белковых пятен, остатков крови, навоза, пригаров, </w:t>
            </w:r>
            <w:proofErr w:type="spellStart"/>
            <w:proofErr w:type="gramStart"/>
            <w:r>
              <w:rPr>
                <w:sz w:val="20"/>
                <w:szCs w:val="20"/>
              </w:rPr>
              <w:t>присохлостей</w:t>
            </w:r>
            <w:proofErr w:type="spellEnd"/>
            <w:r>
              <w:rPr>
                <w:sz w:val="20"/>
                <w:szCs w:val="20"/>
              </w:rPr>
              <w:t xml:space="preserve">  и</w:t>
            </w:r>
            <w:proofErr w:type="gramEnd"/>
            <w:r>
              <w:rPr>
                <w:sz w:val="20"/>
                <w:szCs w:val="20"/>
              </w:rPr>
              <w:t xml:space="preserve"> других органических загрязнений со всех видов поверхностей в    животноводческих    помещениях, убойных цехах, крематорах, на предприятиях мясной переработки, для мытья   оборудования, где допускается пена. Применяется 3-6 % рабочий раствор, в зависимости от степени загрязнения.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>
              <w:rPr>
                <w:sz w:val="20"/>
                <w:szCs w:val="20"/>
              </w:rPr>
              <w:t xml:space="preserve"> Сид С (</w:t>
            </w:r>
            <w:proofErr w:type="spellStart"/>
            <w:r>
              <w:rPr>
                <w:sz w:val="20"/>
                <w:szCs w:val="20"/>
              </w:rPr>
              <w:t>СидЛайн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Бельгия)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Калгонит</w:t>
            </w:r>
            <w:proofErr w:type="spellEnd"/>
            <w:r>
              <w:rPr>
                <w:sz w:val="20"/>
                <w:szCs w:val="20"/>
              </w:rPr>
              <w:t xml:space="preserve"> СФ 5500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Калватис</w:t>
            </w:r>
            <w:proofErr w:type="spellEnd"/>
            <w:r>
              <w:rPr>
                <w:sz w:val="20"/>
                <w:szCs w:val="20"/>
              </w:rPr>
              <w:t>, Германия)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Вирофоам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Kilco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Кеносан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СидЛайн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) -</w:t>
            </w:r>
            <w:proofErr w:type="spellStart"/>
            <w:r>
              <w:rPr>
                <w:sz w:val="20"/>
                <w:szCs w:val="20"/>
              </w:rPr>
              <w:t>ЭкоКлин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Алк</w:t>
            </w:r>
            <w:proofErr w:type="spellEnd"/>
            <w:r>
              <w:rPr>
                <w:sz w:val="20"/>
                <w:szCs w:val="20"/>
              </w:rPr>
              <w:t xml:space="preserve"> Супер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Скиперс</w:t>
            </w:r>
            <w:proofErr w:type="spellEnd"/>
            <w:r>
              <w:rPr>
                <w:sz w:val="20"/>
                <w:szCs w:val="20"/>
              </w:rPr>
              <w:t>, Нидерланды)</w:t>
            </w:r>
          </w:p>
          <w:p w:rsidR="00B217ED" w:rsidRDefault="00B217E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ГАНАСАН</w:t>
            </w:r>
          </w:p>
          <w:p w:rsidR="00B217ED" w:rsidRDefault="00474100">
            <w:pPr>
              <w:widowControl w:val="0"/>
              <w:jc w:val="center"/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>, Испания),</w:t>
            </w:r>
          </w:p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 xml:space="preserve">/5 л, </w:t>
            </w: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>/25 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Дезинфектант</w:t>
            </w:r>
            <w:proofErr w:type="spellEnd"/>
            <w:r>
              <w:rPr>
                <w:b/>
                <w:sz w:val="20"/>
                <w:szCs w:val="20"/>
              </w:rPr>
              <w:t xml:space="preserve">   широкого спектра действия с пенообразующей формулой</w:t>
            </w:r>
            <w:r>
              <w:rPr>
                <w:sz w:val="20"/>
                <w:szCs w:val="20"/>
              </w:rPr>
              <w:t>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дезинфекции животноводческих помещений, скотоприёмных отделений   мясокомбинатов, транспортных средств, резервуаров, инструментов, для заправки </w:t>
            </w:r>
            <w:proofErr w:type="spellStart"/>
            <w:r>
              <w:rPr>
                <w:sz w:val="20"/>
                <w:szCs w:val="20"/>
              </w:rPr>
              <w:t>дезковриков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дезбарьеров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Применяется</w:t>
            </w:r>
            <w:proofErr w:type="gramEnd"/>
            <w:r>
              <w:rPr>
                <w:sz w:val="20"/>
                <w:szCs w:val="20"/>
              </w:rPr>
              <w:t xml:space="preserve"> 1-2% рабочий раствор.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документ из Покровского института на активность к АЧС.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Дексид</w:t>
            </w:r>
            <w:proofErr w:type="spellEnd"/>
            <w:r>
              <w:rPr>
                <w:sz w:val="20"/>
                <w:szCs w:val="20"/>
              </w:rPr>
              <w:t xml:space="preserve"> 400 (</w:t>
            </w:r>
            <w:proofErr w:type="spellStart"/>
            <w:r>
              <w:rPr>
                <w:sz w:val="20"/>
                <w:szCs w:val="20"/>
              </w:rPr>
              <w:t>Интерхеми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Вироцид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СидЛайнс</w:t>
            </w:r>
            <w:proofErr w:type="spellEnd"/>
            <w:r>
              <w:rPr>
                <w:sz w:val="20"/>
                <w:szCs w:val="20"/>
              </w:rPr>
              <w:t>, Бельгия)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Мегадез</w:t>
            </w:r>
            <w:proofErr w:type="spellEnd"/>
            <w:r>
              <w:rPr>
                <w:sz w:val="20"/>
                <w:szCs w:val="20"/>
              </w:rPr>
              <w:t xml:space="preserve"> (Белгород)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ТН4+ (S.A. </w:t>
            </w:r>
            <w:proofErr w:type="spellStart"/>
            <w:r>
              <w:rPr>
                <w:sz w:val="20"/>
                <w:szCs w:val="20"/>
              </w:rPr>
              <w:t>Sogeval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Кемицид</w:t>
            </w:r>
            <w:proofErr w:type="spellEnd"/>
            <w:r>
              <w:rPr>
                <w:sz w:val="20"/>
                <w:szCs w:val="20"/>
              </w:rPr>
              <w:t xml:space="preserve"> Плюс (</w:t>
            </w:r>
            <w:proofErr w:type="spellStart"/>
            <w:r>
              <w:rPr>
                <w:sz w:val="20"/>
                <w:szCs w:val="20"/>
              </w:rPr>
              <w:t>Кемикл</w:t>
            </w:r>
            <w:proofErr w:type="spellEnd"/>
            <w:r>
              <w:rPr>
                <w:sz w:val="20"/>
                <w:szCs w:val="20"/>
              </w:rPr>
              <w:t xml:space="preserve"> Крафт)</w:t>
            </w:r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Kill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D&amp;C </w:t>
            </w:r>
            <w:proofErr w:type="spellStart"/>
            <w:r>
              <w:rPr>
                <w:sz w:val="20"/>
                <w:szCs w:val="20"/>
              </w:rPr>
              <w:t>Кемикалс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КЛИНОСЕПТ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>, Испания),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>/5 л, бут/1 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Защитный гель для быстрой гигиены рук без использования воды.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Очищающее и дезинфицирующее действие.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смягчающими и ранозаживляющими свойствами.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 испарим. Высокоэффективен.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Подходит для ежедневного использования.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КеноДерм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СидЛайн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Бельгия)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Триосепт</w:t>
            </w:r>
            <w:proofErr w:type="spellEnd"/>
            <w:r>
              <w:rPr>
                <w:sz w:val="20"/>
                <w:szCs w:val="20"/>
              </w:rPr>
              <w:t xml:space="preserve"> Ойл (</w:t>
            </w:r>
            <w:proofErr w:type="spellStart"/>
            <w:r>
              <w:rPr>
                <w:sz w:val="20"/>
                <w:szCs w:val="20"/>
              </w:rPr>
              <w:t>СпецСинтез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(Петербург)</w:t>
            </w:r>
          </w:p>
        </w:tc>
      </w:tr>
      <w:tr w:rsidR="00B217ED">
        <w:trPr>
          <w:trHeight w:val="41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МЕВИБАКТЕР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>, Испания),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 xml:space="preserve">/5 л, </w:t>
            </w: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>/25 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Дезинфектант</w:t>
            </w:r>
            <w:proofErr w:type="spellEnd"/>
            <w:r>
              <w:rPr>
                <w:b/>
                <w:sz w:val="20"/>
                <w:szCs w:val="20"/>
              </w:rPr>
              <w:t xml:space="preserve">   на </w:t>
            </w:r>
            <w:proofErr w:type="gramStart"/>
            <w:r>
              <w:rPr>
                <w:b/>
                <w:sz w:val="20"/>
                <w:szCs w:val="20"/>
              </w:rPr>
              <w:t>основе  перекиси</w:t>
            </w:r>
            <w:proofErr w:type="gramEnd"/>
            <w:r>
              <w:rPr>
                <w:b/>
                <w:sz w:val="20"/>
                <w:szCs w:val="20"/>
              </w:rPr>
              <w:t xml:space="preserve"> водорода (25%) и </w:t>
            </w:r>
            <w:proofErr w:type="spellStart"/>
            <w:r>
              <w:rPr>
                <w:b/>
                <w:sz w:val="20"/>
                <w:szCs w:val="20"/>
              </w:rPr>
              <w:t>надуксусной</w:t>
            </w:r>
            <w:proofErr w:type="spellEnd"/>
            <w:r>
              <w:rPr>
                <w:b/>
                <w:sz w:val="20"/>
                <w:szCs w:val="20"/>
              </w:rPr>
              <w:t xml:space="preserve"> кислоты (5%).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дезинфекции в режиме орошения или газации животноводческих и пищеперерабатывающих </w:t>
            </w:r>
            <w:proofErr w:type="gramStart"/>
            <w:r>
              <w:rPr>
                <w:sz w:val="20"/>
                <w:szCs w:val="20"/>
              </w:rPr>
              <w:t>помещений  и</w:t>
            </w:r>
            <w:proofErr w:type="gramEnd"/>
            <w:r>
              <w:rPr>
                <w:sz w:val="20"/>
                <w:szCs w:val="20"/>
              </w:rPr>
              <w:t xml:space="preserve"> для очистки систем водоснабжения. Применяется 0,5-1% рабочий раствор.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-Сид 2000 (</w:t>
            </w:r>
            <w:proofErr w:type="spellStart"/>
            <w:r>
              <w:rPr>
                <w:sz w:val="20"/>
                <w:szCs w:val="20"/>
              </w:rPr>
              <w:t>СидЛайн</w:t>
            </w:r>
            <w:proofErr w:type="spellEnd"/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(Бельгия)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-CLESOL 2000 (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синтез,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sz w:val="20"/>
                <w:szCs w:val="20"/>
              </w:rPr>
              <w:t>Калгонит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стерицид</w:t>
            </w:r>
            <w:proofErr w:type="spellEnd"/>
            <w:proofErr w:type="gramEnd"/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 15 (Германия)</w:t>
            </w:r>
          </w:p>
        </w:tc>
      </w:tr>
      <w:tr w:rsidR="00B217ED">
        <w:trPr>
          <w:trHeight w:val="41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МЕВИСТАТ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>, Испания),</w:t>
            </w:r>
          </w:p>
          <w:p w:rsidR="00B217ED" w:rsidRDefault="00474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вед/5 кг</w:t>
            </w:r>
          </w:p>
          <w:p w:rsidR="00B217ED" w:rsidRDefault="00B217ED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Концентрированный </w:t>
            </w:r>
            <w:proofErr w:type="spellStart"/>
            <w:r>
              <w:rPr>
                <w:b/>
                <w:sz w:val="20"/>
                <w:szCs w:val="20"/>
              </w:rPr>
              <w:t>дезинфектант</w:t>
            </w:r>
            <w:proofErr w:type="spellEnd"/>
            <w:r>
              <w:rPr>
                <w:b/>
                <w:sz w:val="20"/>
                <w:szCs w:val="20"/>
              </w:rPr>
              <w:t xml:space="preserve"> в порошке на основе калия </w:t>
            </w:r>
            <w:proofErr w:type="spellStart"/>
            <w:r>
              <w:rPr>
                <w:b/>
                <w:sz w:val="20"/>
                <w:szCs w:val="20"/>
              </w:rPr>
              <w:t>моноперсульфата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Рабочий раствор 0,5-1%. Для поверхностей и аэрозолей в любых типах животноводческих помещений и в пищеперерабатывающей промышленности.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 210 </w:t>
            </w:r>
            <w:proofErr w:type="spellStart"/>
            <w:r>
              <w:rPr>
                <w:sz w:val="20"/>
                <w:szCs w:val="20"/>
              </w:rPr>
              <w:t>Хюгисепт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Фармос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Финляндия)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Виркон</w:t>
            </w:r>
            <w:proofErr w:type="spellEnd"/>
            <w:r>
              <w:rPr>
                <w:sz w:val="20"/>
                <w:szCs w:val="20"/>
              </w:rPr>
              <w:t xml:space="preserve"> С (</w:t>
            </w:r>
            <w:proofErr w:type="spellStart"/>
            <w:r>
              <w:rPr>
                <w:sz w:val="20"/>
                <w:szCs w:val="20"/>
              </w:rPr>
              <w:t>ДюПон</w:t>
            </w:r>
            <w:proofErr w:type="spellEnd"/>
            <w:r>
              <w:rPr>
                <w:sz w:val="20"/>
                <w:szCs w:val="20"/>
              </w:rPr>
              <w:t>, США)</w:t>
            </w:r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-Экоцид (КRКА, (Словения)</w:t>
            </w:r>
          </w:p>
        </w:tc>
      </w:tr>
      <w:tr w:rsidR="00B217ED">
        <w:trPr>
          <w:trHeight w:val="127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НЕОПРЕДИВЕТ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Menno</w:t>
            </w:r>
            <w:proofErr w:type="spellEnd"/>
            <w:r>
              <w:rPr>
                <w:sz w:val="21"/>
                <w:szCs w:val="21"/>
              </w:rPr>
              <w:t>, Германия),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кан</w:t>
            </w:r>
            <w:proofErr w:type="spellEnd"/>
            <w:r>
              <w:rPr>
                <w:sz w:val="21"/>
                <w:szCs w:val="21"/>
              </w:rPr>
              <w:t>/10 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Дезинфектант</w:t>
            </w:r>
            <w:proofErr w:type="spellEnd"/>
            <w:r>
              <w:rPr>
                <w:b/>
                <w:sz w:val="20"/>
                <w:szCs w:val="20"/>
              </w:rPr>
              <w:t xml:space="preserve"> на основе органических кислот</w:t>
            </w:r>
            <w:r>
              <w:rPr>
                <w:sz w:val="20"/>
                <w:szCs w:val="20"/>
              </w:rPr>
              <w:t xml:space="preserve">: муравьиной к-ты (50%), </w:t>
            </w:r>
            <w:proofErr w:type="spellStart"/>
            <w:r>
              <w:rPr>
                <w:sz w:val="20"/>
                <w:szCs w:val="20"/>
              </w:rPr>
              <w:t>глиоксиловой</w:t>
            </w:r>
            <w:proofErr w:type="spellEnd"/>
            <w:r>
              <w:rPr>
                <w:sz w:val="20"/>
                <w:szCs w:val="20"/>
              </w:rPr>
              <w:t xml:space="preserve"> к-ты (6%), </w:t>
            </w:r>
            <w:proofErr w:type="spellStart"/>
            <w:r>
              <w:rPr>
                <w:sz w:val="20"/>
                <w:szCs w:val="20"/>
              </w:rPr>
              <w:t>сульфоновой</w:t>
            </w:r>
            <w:proofErr w:type="spellEnd"/>
            <w:r>
              <w:rPr>
                <w:sz w:val="20"/>
                <w:szCs w:val="20"/>
              </w:rPr>
              <w:t xml:space="preserve"> к-ты (12%) и спирта октанола-1 (3%).</w:t>
            </w:r>
          </w:p>
          <w:p w:rsidR="00B217ED" w:rsidRDefault="004741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дезинфекции животноводческих </w:t>
            </w:r>
            <w:proofErr w:type="gramStart"/>
            <w:r>
              <w:rPr>
                <w:sz w:val="20"/>
                <w:szCs w:val="20"/>
              </w:rPr>
              <w:t xml:space="preserve">помещений,   </w:t>
            </w:r>
            <w:proofErr w:type="gramEnd"/>
            <w:r>
              <w:rPr>
                <w:sz w:val="20"/>
                <w:szCs w:val="20"/>
              </w:rPr>
              <w:t xml:space="preserve">транспортных средств, инструментов, для заправки </w:t>
            </w:r>
            <w:proofErr w:type="spellStart"/>
            <w:r>
              <w:rPr>
                <w:sz w:val="20"/>
                <w:szCs w:val="20"/>
              </w:rPr>
              <w:t>дезковриков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дезбарьеров</w:t>
            </w:r>
            <w:proofErr w:type="spellEnd"/>
            <w:r>
              <w:rPr>
                <w:sz w:val="20"/>
                <w:szCs w:val="20"/>
              </w:rPr>
              <w:t>. Допускается присутствие животных. Применяется 1,5 % рабочий раствор.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Альдекол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Дез</w:t>
            </w:r>
            <w:proofErr w:type="spellEnd"/>
            <w:r>
              <w:rPr>
                <w:sz w:val="20"/>
                <w:szCs w:val="20"/>
              </w:rPr>
              <w:t xml:space="preserve"> Актив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>
              <w:t xml:space="preserve"> (</w:t>
            </w:r>
            <w:proofErr w:type="gramEnd"/>
            <w:r>
              <w:rPr>
                <w:sz w:val="20"/>
                <w:szCs w:val="20"/>
              </w:rPr>
              <w:t>EWABO)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АнтиДжерм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Пероксан</w:t>
            </w:r>
            <w:proofErr w:type="spellEnd"/>
            <w:r>
              <w:rPr>
                <w:sz w:val="20"/>
                <w:szCs w:val="20"/>
              </w:rPr>
              <w:t xml:space="preserve"> Форте </w:t>
            </w:r>
            <w:proofErr w:type="spellStart"/>
            <w:r>
              <w:rPr>
                <w:sz w:val="20"/>
                <w:szCs w:val="20"/>
              </w:rPr>
              <w:t>Флюссиг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Anti-Germ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Austria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Дивосан</w:t>
            </w:r>
            <w:proofErr w:type="spellEnd"/>
            <w:r>
              <w:rPr>
                <w:sz w:val="20"/>
                <w:szCs w:val="20"/>
              </w:rPr>
              <w:t xml:space="preserve"> Форте (</w:t>
            </w:r>
            <w:proofErr w:type="spellStart"/>
            <w:r>
              <w:rPr>
                <w:sz w:val="20"/>
                <w:szCs w:val="20"/>
              </w:rPr>
              <w:t>Diversey</w:t>
            </w:r>
            <w:proofErr w:type="spellEnd"/>
            <w:r>
              <w:rPr>
                <w:sz w:val="20"/>
                <w:szCs w:val="20"/>
              </w:rPr>
              <w:t>), -</w:t>
            </w:r>
            <w:proofErr w:type="spellStart"/>
            <w:r>
              <w:rPr>
                <w:sz w:val="20"/>
                <w:szCs w:val="20"/>
              </w:rPr>
              <w:t>Кикстарт</w:t>
            </w:r>
            <w:proofErr w:type="spellEnd"/>
            <w:r>
              <w:rPr>
                <w:sz w:val="20"/>
                <w:szCs w:val="20"/>
              </w:rPr>
              <w:t xml:space="preserve"> (CID LINES NV), -ХППА (</w:t>
            </w:r>
            <w:proofErr w:type="spellStart"/>
            <w:r>
              <w:rPr>
                <w:sz w:val="20"/>
                <w:szCs w:val="20"/>
              </w:rPr>
              <w:t>Kilco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217ED">
        <w:trPr>
          <w:trHeight w:val="41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НЕОПРЕДИНОЛ</w:t>
            </w:r>
          </w:p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Menno</w:t>
            </w:r>
            <w:proofErr w:type="spellEnd"/>
            <w:r>
              <w:rPr>
                <w:sz w:val="21"/>
                <w:szCs w:val="21"/>
              </w:rPr>
              <w:t>, Германия)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Дезинфицирующее  пенное</w:t>
            </w:r>
            <w:proofErr w:type="gramEnd"/>
            <w:r>
              <w:rPr>
                <w:b/>
                <w:sz w:val="20"/>
                <w:szCs w:val="20"/>
              </w:rPr>
              <w:t xml:space="preserve"> средство для кожи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животных</w:t>
            </w:r>
            <w:r>
              <w:rPr>
                <w:sz w:val="20"/>
                <w:szCs w:val="20"/>
              </w:rPr>
              <w:t xml:space="preserve"> на основе органических кислот:  муравьиной к-ты (52 %), </w:t>
            </w:r>
            <w:proofErr w:type="spellStart"/>
            <w:r>
              <w:rPr>
                <w:sz w:val="20"/>
                <w:szCs w:val="20"/>
              </w:rPr>
              <w:t>глиоксиловой</w:t>
            </w:r>
            <w:proofErr w:type="spellEnd"/>
            <w:r>
              <w:rPr>
                <w:sz w:val="20"/>
                <w:szCs w:val="20"/>
              </w:rPr>
              <w:t xml:space="preserve"> к-ты (7 %), </w:t>
            </w:r>
            <w:proofErr w:type="spellStart"/>
            <w:r>
              <w:rPr>
                <w:sz w:val="20"/>
                <w:szCs w:val="20"/>
              </w:rPr>
              <w:t>сульфоновой</w:t>
            </w:r>
            <w:proofErr w:type="spellEnd"/>
            <w:r>
              <w:rPr>
                <w:sz w:val="20"/>
                <w:szCs w:val="20"/>
              </w:rPr>
              <w:t xml:space="preserve"> к-ты ( 12%) и спирта октанола-1 (12 %). Для гигиены кожи </w:t>
            </w:r>
            <w:r>
              <w:rPr>
                <w:sz w:val="20"/>
                <w:szCs w:val="20"/>
              </w:rPr>
              <w:lastRenderedPageBreak/>
              <w:t>животных и обработки животноводческих помещений в присутствии животных. Применяется 2 % рабочий раствор.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КеноПро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СидЛайн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Бельгия)</w:t>
            </w: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СКИНОРЕКС</w:t>
            </w:r>
          </w:p>
          <w:p w:rsidR="00B217ED" w:rsidRDefault="0047410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Фармбиоконтроль</w:t>
            </w:r>
            <w:proofErr w:type="spellEnd"/>
            <w:r>
              <w:rPr>
                <w:sz w:val="22"/>
                <w:szCs w:val="22"/>
              </w:rPr>
              <w:t xml:space="preserve"> (Испания)</w:t>
            </w:r>
          </w:p>
          <w:p w:rsidR="00B217ED" w:rsidRDefault="00B217E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Пенный антисептик – концентрат для обработки кожи животных на основе </w:t>
            </w:r>
            <w:proofErr w:type="spellStart"/>
            <w:r>
              <w:rPr>
                <w:b/>
                <w:sz w:val="20"/>
                <w:szCs w:val="20"/>
              </w:rPr>
              <w:t>хлоргексидина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5-6 % рабочий раствор. Для санации свиноматок перед опоросом и осеменением, для обработки поросят при перегруппировках в новые станки(профилактика установления иерархий).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КеноПро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СидЛайн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Бельгия)</w:t>
            </w:r>
          </w:p>
        </w:tc>
      </w:tr>
      <w:tr w:rsidR="00B217ED">
        <w:trPr>
          <w:trHeight w:val="277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ФУМАГРИ ОПП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«Сухая» дезинфекция в виде дымовой шашки по принципу </w:t>
            </w:r>
            <w:proofErr w:type="spellStart"/>
            <w:r>
              <w:rPr>
                <w:b/>
                <w:sz w:val="20"/>
                <w:szCs w:val="20"/>
              </w:rPr>
              <w:t>ультрадиффузии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Дезинфектант</w:t>
            </w:r>
            <w:proofErr w:type="spellEnd"/>
            <w:r>
              <w:rPr>
                <w:sz w:val="20"/>
                <w:szCs w:val="20"/>
              </w:rPr>
              <w:t xml:space="preserve"> на основе </w:t>
            </w:r>
            <w:proofErr w:type="spellStart"/>
            <w:r>
              <w:rPr>
                <w:sz w:val="20"/>
                <w:szCs w:val="20"/>
              </w:rPr>
              <w:t>ортофенилфенола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Сильная </w:t>
            </w:r>
            <w:proofErr w:type="spellStart"/>
            <w:r>
              <w:rPr>
                <w:sz w:val="20"/>
                <w:szCs w:val="20"/>
              </w:rPr>
              <w:t>вирулицидная</w:t>
            </w:r>
            <w:proofErr w:type="spellEnd"/>
            <w:r>
              <w:rPr>
                <w:sz w:val="20"/>
                <w:szCs w:val="20"/>
              </w:rPr>
              <w:t xml:space="preserve">, бактерицидная и </w:t>
            </w:r>
            <w:proofErr w:type="spellStart"/>
            <w:r>
              <w:rPr>
                <w:sz w:val="20"/>
                <w:szCs w:val="20"/>
              </w:rPr>
              <w:t>фунгицидная</w:t>
            </w:r>
            <w:proofErr w:type="spellEnd"/>
            <w:r>
              <w:rPr>
                <w:sz w:val="20"/>
                <w:szCs w:val="20"/>
              </w:rPr>
              <w:t xml:space="preserve"> активность, а также обработка от насекомых. Для обработки пустых животноводческих помещений, складов, а также инкубаторов и выводных шкафов.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Экспозиция: мин - 4 часа, макс - 15 часов;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Вентилировать после обработки - 1 час.</w:t>
            </w:r>
          </w:p>
          <w:p w:rsidR="00B217ED" w:rsidRDefault="00B217ED">
            <w:pPr>
              <w:widowControl w:val="0"/>
              <w:rPr>
                <w:sz w:val="20"/>
                <w:szCs w:val="20"/>
              </w:rPr>
            </w:pPr>
          </w:p>
          <w:p w:rsidR="00B217ED" w:rsidRDefault="00B217ED">
            <w:pPr>
              <w:widowControl w:val="0"/>
              <w:rPr>
                <w:sz w:val="20"/>
                <w:szCs w:val="20"/>
              </w:rPr>
            </w:pPr>
          </w:p>
          <w:p w:rsidR="00B217ED" w:rsidRDefault="00B217E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hd w:val="clear" w:color="auto" w:fill="FFFFFF"/>
              </w:rPr>
            </w:pPr>
            <w:r>
              <w:rPr>
                <w:rFonts w:ascii="Verdana" w:hAnsi="Verdana"/>
                <w:color w:val="4C3B25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4C3B25"/>
                <w:sz w:val="20"/>
                <w:szCs w:val="20"/>
                <w:shd w:val="clear" w:color="auto" w:fill="FFFFFF"/>
              </w:rPr>
              <w:t>НЕО K7 (</w:t>
            </w:r>
            <w:proofErr w:type="spellStart"/>
            <w:r>
              <w:rPr>
                <w:color w:val="4C3B25"/>
                <w:sz w:val="20"/>
                <w:szCs w:val="20"/>
                <w:shd w:val="clear" w:color="auto" w:fill="FFFFFF"/>
              </w:rPr>
              <w:t>Kemper</w:t>
            </w:r>
            <w:proofErr w:type="spellEnd"/>
            <w:r>
              <w:rPr>
                <w:color w:val="4C3B25"/>
                <w:sz w:val="20"/>
                <w:szCs w:val="20"/>
                <w:shd w:val="clear" w:color="auto" w:fill="FFFFFF"/>
              </w:rPr>
              <w:t>, Италия)</w:t>
            </w:r>
          </w:p>
          <w:p w:rsidR="00B217ED" w:rsidRDefault="00474100">
            <w:pPr>
              <w:widowControl w:val="0"/>
              <w:rPr>
                <w:shd w:val="clear" w:color="auto" w:fill="FFFFFF"/>
              </w:rPr>
            </w:pPr>
            <w:r>
              <w:rPr>
                <w:color w:val="4C3B25"/>
                <w:sz w:val="20"/>
                <w:szCs w:val="20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C3B25"/>
                <w:sz w:val="20"/>
                <w:szCs w:val="20"/>
                <w:shd w:val="clear" w:color="auto" w:fill="FFFFFF"/>
              </w:rPr>
              <w:t>Фумите</w:t>
            </w:r>
            <w:proofErr w:type="spellEnd"/>
            <w:r>
              <w:rPr>
                <w:color w:val="4C3B25"/>
                <w:sz w:val="20"/>
                <w:szCs w:val="20"/>
                <w:shd w:val="clear" w:color="auto" w:fill="FFFFFF"/>
              </w:rPr>
              <w:t xml:space="preserve"> ОПП (</w:t>
            </w:r>
            <w:proofErr w:type="spellStart"/>
            <w:r>
              <w:rPr>
                <w:color w:val="4C3B25"/>
                <w:sz w:val="20"/>
                <w:szCs w:val="20"/>
                <w:shd w:val="clear" w:color="auto" w:fill="FFFFFF"/>
              </w:rPr>
              <w:t>Octavius</w:t>
            </w:r>
            <w:proofErr w:type="spellEnd"/>
            <w:r>
              <w:rPr>
                <w:color w:val="4C3B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C3B25"/>
                <w:sz w:val="20"/>
                <w:szCs w:val="20"/>
                <w:shd w:val="clear" w:color="auto" w:fill="FFFFFF"/>
              </w:rPr>
              <w:t>Hunt</w:t>
            </w:r>
            <w:proofErr w:type="spellEnd"/>
            <w:r>
              <w:rPr>
                <w:color w:val="4C3B25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217ED">
        <w:trPr>
          <w:trHeight w:val="7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  <w:p w:rsidR="00B217ED" w:rsidRDefault="00B217ED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17ED" w:rsidRDefault="0047410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ФУГИТА</w:t>
            </w:r>
          </w:p>
          <w:p w:rsidR="00B217ED" w:rsidRDefault="0047410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Фармбиоконтроль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Инсектицидное средство в виде порошка для эмульсии.</w:t>
            </w:r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комбинация </w:t>
            </w:r>
            <w:proofErr w:type="spellStart"/>
            <w:r>
              <w:rPr>
                <w:sz w:val="20"/>
                <w:szCs w:val="20"/>
              </w:rPr>
              <w:t>циперметрина</w:t>
            </w:r>
            <w:proofErr w:type="spellEnd"/>
            <w:r>
              <w:rPr>
                <w:sz w:val="20"/>
                <w:szCs w:val="20"/>
              </w:rPr>
              <w:t>, Д-транс-</w:t>
            </w:r>
            <w:proofErr w:type="spellStart"/>
            <w:r>
              <w:rPr>
                <w:sz w:val="20"/>
                <w:szCs w:val="20"/>
              </w:rPr>
              <w:t>тетраметрина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sz w:val="20"/>
                <w:szCs w:val="20"/>
              </w:rPr>
              <w:t>пиперонилбутилата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B217ED" w:rsidRDefault="004741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 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: 250 г порошка смешать с 2 л воды.   Эту эмульсию использовать для разбрызгивания.</w:t>
            </w:r>
          </w:p>
          <w:p w:rsidR="00B217ED" w:rsidRDefault="004741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 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: 250 г порошка смешать с 200 мл воды. Эту эмульсию использовать    для нанесения на недоступные животным поверхности.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D" w:rsidRDefault="004741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Агита</w:t>
            </w:r>
            <w:proofErr w:type="spellEnd"/>
            <w:r>
              <w:rPr>
                <w:sz w:val="20"/>
                <w:szCs w:val="20"/>
              </w:rPr>
              <w:t xml:space="preserve"> (Австрия)</w:t>
            </w:r>
          </w:p>
        </w:tc>
      </w:tr>
    </w:tbl>
    <w:p w:rsidR="00B217ED" w:rsidRDefault="00B217ED">
      <w:pPr>
        <w:jc w:val="both"/>
        <w:rPr>
          <w:rFonts w:eastAsia="Calibri"/>
          <w:bCs/>
          <w:iCs/>
          <w:sz w:val="21"/>
          <w:szCs w:val="21"/>
        </w:rPr>
      </w:pPr>
    </w:p>
    <w:sectPr w:rsidR="00B217ED">
      <w:headerReference w:type="even" r:id="rId8"/>
      <w:headerReference w:type="default" r:id="rId9"/>
      <w:pgSz w:w="11906" w:h="16838"/>
      <w:pgMar w:top="766" w:right="1134" w:bottom="284" w:left="70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52" w:rsidRDefault="00180452">
      <w:r>
        <w:separator/>
      </w:r>
    </w:p>
  </w:endnote>
  <w:endnote w:type="continuationSeparator" w:id="0">
    <w:p w:rsidR="00180452" w:rsidRDefault="0018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Sylfaen">
    <w:panose1 w:val="010A0502050306030303"/>
    <w:charset w:val="CC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52" w:rsidRDefault="00180452">
      <w:r>
        <w:separator/>
      </w:r>
    </w:p>
  </w:footnote>
  <w:footnote w:type="continuationSeparator" w:id="0">
    <w:p w:rsidR="00180452" w:rsidRDefault="0018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ED" w:rsidRDefault="00474100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217ED" w:rsidRDefault="00474100">
                          <w:pPr>
                            <w:pStyle w:val="aa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BNGeGE6gEAACEEAAAOAAAAAAAAAAAAAAAAAC4CAABkcnMvZTJvRG9jLnhtbFBLAQItABQA&#10;BgAIAAAAIQBsf7XW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B217ED" w:rsidRDefault="00474100">
                    <w:pPr>
                      <w:pStyle w:val="aa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7ED" w:rsidRDefault="00474100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217ED" w:rsidRDefault="00474100">
                          <w:pPr>
                            <w:pStyle w:val="aa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2300C0">
                            <w:rPr>
                              <w:rStyle w:val="a5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6.05pt;height:13.7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B217ED" w:rsidRDefault="00474100">
                    <w:pPr>
                      <w:pStyle w:val="aa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2300C0">
                      <w:rPr>
                        <w:rStyle w:val="a5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D"/>
    <w:rsid w:val="00180452"/>
    <w:rsid w:val="002300C0"/>
    <w:rsid w:val="00474100"/>
    <w:rsid w:val="00B217ED"/>
    <w:rsid w:val="00CF0B82"/>
    <w:rsid w:val="00D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8EF5"/>
  <w15:docId w15:val="{8C6F2E5C-A2D7-4965-88DC-E50D1533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6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0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03C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qFormat/>
    <w:rsid w:val="009C4DC9"/>
  </w:style>
  <w:style w:type="character" w:customStyle="1" w:styleId="-">
    <w:name w:val="Интернет-ссылка"/>
    <w:basedOn w:val="a0"/>
    <w:rsid w:val="00607F81"/>
    <w:rPr>
      <w:color w:val="0000FF"/>
      <w:u w:val="single"/>
    </w:rPr>
  </w:style>
  <w:style w:type="character" w:customStyle="1" w:styleId="a6">
    <w:name w:val="Заголовок Знак"/>
    <w:basedOn w:val="a0"/>
    <w:link w:val="a7"/>
    <w:qFormat/>
    <w:rsid w:val="00EB57BE"/>
    <w:rPr>
      <w:rFonts w:ascii="Times New Roman" w:eastAsia="Times New Roman" w:hAnsi="Times New Roman"/>
      <w:b/>
      <w:sz w:val="32"/>
    </w:rPr>
  </w:style>
  <w:style w:type="character" w:styleId="a8">
    <w:name w:val="Emphasis"/>
    <w:qFormat/>
    <w:rsid w:val="00EB57BE"/>
    <w:rPr>
      <w:i/>
      <w:iCs/>
    </w:rPr>
  </w:style>
  <w:style w:type="character" w:customStyle="1" w:styleId="FontStyle12">
    <w:name w:val="Font Style12"/>
    <w:basedOn w:val="a0"/>
    <w:uiPriority w:val="99"/>
    <w:qFormat/>
    <w:rsid w:val="00496BBE"/>
    <w:rPr>
      <w:rFonts w:ascii="Sylfaen" w:hAnsi="Sylfaen" w:cs="Sylfae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qFormat/>
    <w:rsid w:val="00496BBE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qFormat/>
    <w:rsid w:val="00496BBE"/>
    <w:rPr>
      <w:rFonts w:ascii="Sylfaen" w:hAnsi="Sylfaen" w:cs="Sylfaen"/>
      <w:spacing w:val="10"/>
      <w:sz w:val="22"/>
      <w:szCs w:val="22"/>
    </w:rPr>
  </w:style>
  <w:style w:type="character" w:customStyle="1" w:styleId="a9">
    <w:name w:val="Верхний колонтитул Знак"/>
    <w:basedOn w:val="a0"/>
    <w:link w:val="aa"/>
    <w:qFormat/>
    <w:rsid w:val="00485A66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qFormat/>
    <w:rsid w:val="001D5B26"/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qFormat/>
    <w:rsid w:val="00166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qFormat/>
    <w:rsid w:val="00930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c"/>
    <w:link w:val="a6"/>
    <w:qFormat/>
    <w:rsid w:val="00EB57BE"/>
    <w:pPr>
      <w:jc w:val="center"/>
    </w:pPr>
    <w:rPr>
      <w:b/>
      <w:sz w:val="32"/>
      <w:szCs w:val="20"/>
    </w:rPr>
  </w:style>
  <w:style w:type="paragraph" w:styleId="ac">
    <w:name w:val="Body Text"/>
    <w:basedOn w:val="a"/>
    <w:link w:val="ab"/>
    <w:rsid w:val="001D5B26"/>
    <w:pPr>
      <w:jc w:val="both"/>
    </w:pPr>
    <w:rPr>
      <w:sz w:val="18"/>
      <w:szCs w:val="20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qFormat/>
    <w:rsid w:val="00F03C61"/>
    <w:pPr>
      <w:spacing w:beforeAutospacing="1" w:afterAutospacing="1"/>
    </w:pPr>
  </w:style>
  <w:style w:type="paragraph" w:customStyle="1" w:styleId="msonormalbullet3gif">
    <w:name w:val="msonormalbullet3.gif"/>
    <w:basedOn w:val="a"/>
    <w:qFormat/>
    <w:rsid w:val="00F03C61"/>
    <w:pPr>
      <w:spacing w:beforeAutospacing="1" w:afterAutospacing="1"/>
    </w:pPr>
  </w:style>
  <w:style w:type="paragraph" w:customStyle="1" w:styleId="msonormalbullet2gifbullet3gifbullet1gif">
    <w:name w:val="msonormalbullet2gifbullet3gifbullet1.gif"/>
    <w:basedOn w:val="a"/>
    <w:qFormat/>
    <w:rsid w:val="00F03C61"/>
    <w:pPr>
      <w:spacing w:beforeAutospacing="1" w:afterAutospacing="1"/>
    </w:pPr>
  </w:style>
  <w:style w:type="paragraph" w:customStyle="1" w:styleId="msonormalbullet2gifbullet3gifbullet3gif">
    <w:name w:val="msonormalbullet2gifbullet3gifbullet3.gif"/>
    <w:basedOn w:val="a"/>
    <w:qFormat/>
    <w:rsid w:val="00F03C61"/>
    <w:pPr>
      <w:spacing w:beforeAutospacing="1" w:afterAutospacing="1"/>
    </w:pPr>
  </w:style>
  <w:style w:type="paragraph" w:customStyle="1" w:styleId="msonormalbullet1gif">
    <w:name w:val="msonormalbullet1.gif"/>
    <w:basedOn w:val="a"/>
    <w:qFormat/>
    <w:rsid w:val="00F03C61"/>
    <w:pPr>
      <w:spacing w:beforeAutospacing="1" w:afterAutospacing="1"/>
    </w:pPr>
  </w:style>
  <w:style w:type="paragraph" w:styleId="a4">
    <w:name w:val="Balloon Text"/>
    <w:basedOn w:val="a"/>
    <w:link w:val="a3"/>
    <w:uiPriority w:val="99"/>
    <w:semiHidden/>
    <w:unhideWhenUsed/>
    <w:qFormat/>
    <w:rsid w:val="00F03C61"/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f1">
    <w:name w:val="footer"/>
    <w:basedOn w:val="a"/>
    <w:rsid w:val="00E8726B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9"/>
    <w:rsid w:val="009C4DC9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813BEB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496BBE"/>
    <w:pPr>
      <w:widowControl w:val="0"/>
    </w:pPr>
    <w:rPr>
      <w:rFonts w:ascii="Sylfaen" w:eastAsiaTheme="minorEastAsia" w:hAnsi="Sylfaen" w:cstheme="minorBidi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E66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vakorm.ru/produktsiya/produktsiya-dlya-selkhozzhivotnykh/kormovye-dobavki/immunoglobuliny/593-globigen-pig-dozer-kormovaya-dobavka-suspenziya-immunokorrektor-dlya-porosy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095C8-B618-4808-BED5-4CB25A6E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vetprom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secretary5</dc:creator>
  <dc:description/>
  <cp:lastModifiedBy>Глеб</cp:lastModifiedBy>
  <cp:revision>3</cp:revision>
  <cp:lastPrinted>2022-07-06T14:23:00Z</cp:lastPrinted>
  <dcterms:created xsi:type="dcterms:W3CDTF">2022-10-03T10:34:00Z</dcterms:created>
  <dcterms:modified xsi:type="dcterms:W3CDTF">2022-10-03T12:54:00Z</dcterms:modified>
  <dc:language>ru-RU</dc:language>
</cp:coreProperties>
</file>